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"К-Ресурс С-З"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Народного Ополчения пр., д. 145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"К-Ресурс С-З"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Народного Ополчения пр., д. 145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"К-Ресурс С-З"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Народного Ополчения пр., д. 145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"К-Ресурс С-З"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Народного Ополчения пр., д. 145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