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Руставели ул., д. 10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Руставели ул., д. 10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Руставели ул., д. 10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Руставели ул., д. 10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